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34E895CD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83AA3">
                                <w:rPr>
                                  <w:szCs w:val="22"/>
                                  <w:lang w:val="ru-RU"/>
                                </w:rPr>
                                <w:t>0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7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8F2E90">
                                <w:rPr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OnqAMAAMQJAAAOAAAAZHJzL2Uyb0RvYy54bWzMVttu3DYQfS+QfyD4LuuyklYrWA7svRgF&#10;nDZA3A/gStQFkUiV5Fpyg/x7h6RWXq/j1EiAInoQKA45nDlz5lCX78euRQ9UyIazDPsXHkaU5bxo&#10;WJXhv+53ToKRVIQVpOWMZviRSvz+6t1vl0Of0oDXvC2oQOCEyXToM1wr1aeuK/OadkRe8J4yMJZc&#10;dETBp6jcQpABvHetG3he7A5cFL3gOZUSZjfWiK+M/7KkufqzLCVVqM0wxKbMW5j3Xr/dq0uSVoL0&#10;dZNPYZAfiKIjDYNDZ1cbogg6iOaFq67JBZe8VBc571xelk1OTQ6Qje+dZXMr+KE3uVTpUPUzTADt&#10;GU4/7Db/4+GjQE0BtcOIkQ5KZE5FgYZm6KsUVtyK/lP/Udj8YHjH888SzO65XX9XdjHaDx94Ae7I&#10;QXEDzViKTruApNFoKvA4V4COCuUwGcZBtAihUDnYfG8RL4KpRnkNhdT7FmESY2TMgW/rl9fbaf8y&#10;SMJpcxQvtdUlqT3YBDsFpzMDvsknSOXPQfqpJj01lZIasAnS4Ajpvc7vho9oYVE1izSkSI0wrcHX&#10;yEiLLGJ8XRNW0Wsh+FBTUkB0JlXIYd5qc5DayX9B/Q3IjoB/BzCS9kKqW8o7pAcZFtBNJk7ycCeV&#10;xfa4RIfP+K5pW5gnacueTUAR7AwcC1u1TQdgGuTLylttk20SOmEQb53Q22yc6906dOKdv4w2i816&#10;vfG/6nP9MK2boqBMH3NsVj98W+Um2bBtNrer5G1TaHc6JCmq/boV6IGAWOzMMzHoZJn7PAxDMMjl&#10;LCU/CL2bYOXs4mTphLswclZLL3E8f3Wzir1wFW52z1O6axj9+ZTQkOFVFESWTa/m5pnnZW4k7RoF&#10;ctw2XYaTeRFJNQe3rDClVaRp7fgECh3+ExRQ7mOhDWM1SS1d1bgfwYum8Z4Xj8BdwYFZ0PBwh8Cg&#10;5uIfjAbQ4wzLvw9EUIza35nmv44HBNx8hNESdAGJU8v+1EJYDq4yrDCyw7Wyon/oRVPVcJLtOMav&#10;QZ7KxrD5KSojbUYg/ielWByVwvAgPFGJNbPCm49sEt5ZHozo3D/2ILLP1MFu0dm8TR3iAIRKC2oY&#10;JPpk25xajpfeMrJyalR41tIX0tBC/d8sDZql0dKPtMx3fQFVgsv38309XaEnzXbWk6/zFi7KiZ6v&#10;UfUXFaBZM0+ayeqRbaJjUxnVPGsm20FQMDMPt5kZmV8Fs236rdH/IqffZtXTz9fVvwAAAP//AwBQ&#10;SwMEFAAGAAgAAAAhAARlbvfcAAAABQEAAA8AAABkcnMvZG93bnJldi54bWxMj0FLw0AQhe+C/2EZ&#10;wZvdJNVaYjalFPVUBFtBvE2TaRKanQ3ZbZL+e0cvenkwvMd732SrybZqoN43jg3EswgUceHKhisD&#10;H/uXuyUoH5BLbB2TgQt5WOXXVxmmpRv5nYZdqJSUsE/RQB1Cl2rti5os+pnriMU7ut5ikLOvdNnj&#10;KOW21UkULbTFhmWhxo42NRWn3dkaeB1xXM/j52F7Om4uX/uHt89tTMbc3kzrJ1CBpvAXhh98QYdc&#10;mA7uzKVXrQF5JPyqeI/J8h7UQUKLeQI6z/R/+vwbAAD//wMAUEsBAi0AFAAGAAgAAAAhALaDOJL+&#10;AAAA4QEAABMAAAAAAAAAAAAAAAAAAAAAAFtDb250ZW50X1R5cGVzXS54bWxQSwECLQAUAAYACAAA&#10;ACEAOP0h/9YAAACUAQAACwAAAAAAAAAAAAAAAAAvAQAAX3JlbHMvLnJlbHNQSwECLQAUAAYACAAA&#10;ACEAzOlDp6gDAADECQAADgAAAAAAAAAAAAAAAAAuAgAAZHJzL2Uyb0RvYy54bWxQSwECLQAUAAYA&#10;CAAAACEABGVu99wAAAAFAQAADwAAAAAAAAAAAAAAAAACBg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GFsMA&#10;AADaAAAADwAAAGRycy9kb3ducmV2LnhtbESPQWvCQBSE7wX/w/KE3upGQQmpqxRBKAUrRrF4e2Sf&#10;2dDs25hdk/jvu4VCj8PMfMMs14OtRUetrxwrmE4SEMSF0xWXCk7H7UsKwgdkjbVjUvAgD+vV6GmJ&#10;mXY9H6jLQykihH2GCkwITSalLwxZ9BPXEEfv6lqLIcq2lLrFPsJtLWdJspAWK44LBhvaGCq+87tV&#10;cLl16Vf6uH/4vOkP5lPv5+edVOp5PLy9ggg0hP/wX/tdK5jB75V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hGFsMAAADaAAAADwAAAAAAAAAAAAAAAACYAgAAZHJzL2Rv&#10;d25yZXYueG1sUEsFBgAAAAAEAAQA9QAAAIgD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34E895CD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83AA3">
                          <w:rPr>
                            <w:szCs w:val="22"/>
                            <w:lang w:val="ru-RU"/>
                          </w:rPr>
                          <w:t>0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7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8F2E90">
                          <w:rPr>
                            <w:szCs w:val="22"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8u9cEAAADaAAAADwAAAGRycy9kb3ducmV2LnhtbESPzWrDMBCE74W+g9hCb7WcGkJxooQQ&#10;SCj4lKSHHBdrI4tYK2Mp/nn7qlDIcZiZb5j1dnKtGKgP1rOCRZaDIK69tmwU/FwOH18gQkTW2Hom&#10;BTMF2G5eX9ZYaj/yiYZzNCJBOJSooImxK6UMdUMOQ+Y74uTdfO8wJtkbqXscE9y18jPPl9Kh5bTQ&#10;YEf7hur7+eEUmMraKmgd7vPuWhmMrmgPR6Xe36bdCkSkKT7D/+1vraCAvyvpBs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fy71wQAAANoAAAAPAAAAAAAAAAAAAAAA&#10;AKECAABkcnMvZG93bnJldi54bWxQSwUGAAAAAAQABAD5AAAAjwMAAAAA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0B25994F" w14:textId="77777777" w:rsidR="00AA4BCA" w:rsidRPr="005C124A" w:rsidRDefault="00AA4BCA" w:rsidP="00AA4BCA">
      <w:pPr>
        <w:pStyle w:val="af7"/>
      </w:pPr>
      <w:proofErr w:type="spellStart"/>
      <w:r w:rsidRPr="005C124A">
        <w:rPr>
          <w:i/>
        </w:rPr>
        <w:t>Полосин</w:t>
      </w:r>
      <w:proofErr w:type="spellEnd"/>
      <w:r w:rsidRPr="005C124A">
        <w:rPr>
          <w:i/>
        </w:rPr>
        <w:t> Л. Л., Третьяк С. А., Фролов Ю. А.</w:t>
      </w:r>
      <w:r w:rsidRPr="005C124A">
        <w:t xml:space="preserve"> </w:t>
      </w:r>
      <w:r w:rsidRPr="005C124A">
        <w:rPr>
          <w:b/>
          <w:szCs w:val="28"/>
        </w:rPr>
        <w:t xml:space="preserve">Контроль параметров каналов передачи цветоразностных сигналов в цифровом телевидении. С. 3–11. </w:t>
      </w:r>
      <w:r w:rsidRPr="005C124A">
        <w:t xml:space="preserve">Рассмотрены измерительные сигналы для измерения линейных искажений, различия в усилении сигналов яркости и цветоразностных сигналов цветности, их расхождения во </w:t>
      </w:r>
      <w:r w:rsidRPr="005C124A">
        <w:rPr>
          <w:spacing w:val="-4"/>
        </w:rPr>
        <w:t>времени. Предложены новые измерительные сигналы для контроля</w:t>
      </w:r>
      <w:r w:rsidRPr="005C124A">
        <w:t xml:space="preserve"> каналов передачи компонентных цветоразностных сигналов.</w:t>
      </w:r>
    </w:p>
    <w:p w14:paraId="3C772BC3" w14:textId="04485194" w:rsidR="00AA4BCA" w:rsidRPr="005C124A" w:rsidRDefault="00AA4BCA" w:rsidP="00AA4BCA">
      <w:pPr>
        <w:pStyle w:val="af7"/>
        <w:rPr>
          <w:szCs w:val="18"/>
        </w:rPr>
      </w:pPr>
      <w:r w:rsidRPr="005C124A">
        <w:rPr>
          <w:i/>
        </w:rPr>
        <w:t>Кустов Д. А.</w:t>
      </w:r>
      <w:r w:rsidRPr="005C124A">
        <w:t xml:space="preserve"> </w:t>
      </w:r>
      <w:r w:rsidRPr="005C124A">
        <w:rPr>
          <w:b/>
          <w:szCs w:val="28"/>
        </w:rPr>
        <w:t xml:space="preserve">Средства измерения для цифровых телевизионных систем. С. 12–21. </w:t>
      </w:r>
      <w:r w:rsidRPr="005C124A">
        <w:rPr>
          <w:spacing w:val="-2"/>
          <w:szCs w:val="18"/>
        </w:rPr>
        <w:t>Рассмотрены как зарубежные, так и отечественные средства измерения</w:t>
      </w:r>
      <w:r w:rsidRPr="005C124A">
        <w:rPr>
          <w:szCs w:val="18"/>
        </w:rPr>
        <w:t xml:space="preserve"> для цифровых телевизионных систем. Показана перспективность использования оборудования разработки ФГУП «НИИТ».</w:t>
      </w:r>
    </w:p>
    <w:p w14:paraId="42D6BD4B" w14:textId="77777777" w:rsidR="00AA4BCA" w:rsidRPr="005C124A" w:rsidRDefault="00AA4BCA" w:rsidP="00AA4BCA">
      <w:pPr>
        <w:pStyle w:val="af7"/>
      </w:pPr>
      <w:r w:rsidRPr="005C124A">
        <w:rPr>
          <w:i/>
        </w:rPr>
        <w:t xml:space="preserve">Бабаян А. В., </w:t>
      </w:r>
      <w:proofErr w:type="spellStart"/>
      <w:r w:rsidRPr="005C124A">
        <w:rPr>
          <w:i/>
        </w:rPr>
        <w:t>Гласман</w:t>
      </w:r>
      <w:proofErr w:type="spellEnd"/>
      <w:r w:rsidRPr="005C124A">
        <w:rPr>
          <w:i/>
        </w:rPr>
        <w:t> К. Ф.</w:t>
      </w:r>
      <w:r w:rsidRPr="005C124A">
        <w:t xml:space="preserve"> </w:t>
      </w:r>
      <w:r w:rsidRPr="005C124A">
        <w:rPr>
          <w:b/>
        </w:rPr>
        <w:t xml:space="preserve">Оценка заметности искажений </w:t>
      </w:r>
      <w:proofErr w:type="spellStart"/>
      <w:r w:rsidRPr="005C124A">
        <w:rPr>
          <w:b/>
        </w:rPr>
        <w:t>видеокомпрессии</w:t>
      </w:r>
      <w:proofErr w:type="spellEnd"/>
      <w:r w:rsidRPr="005C124A">
        <w:rPr>
          <w:b/>
        </w:rPr>
        <w:t xml:space="preserve"> </w:t>
      </w:r>
      <w:r w:rsidRPr="005C124A">
        <w:rPr>
          <w:b/>
          <w:lang w:val="en-US"/>
        </w:rPr>
        <w:t>MPEG</w:t>
      </w:r>
      <w:r w:rsidRPr="005C124A">
        <w:rPr>
          <w:b/>
        </w:rPr>
        <w:t>-2</w:t>
      </w:r>
      <w:r w:rsidRPr="005C124A">
        <w:t xml:space="preserve"> </w:t>
      </w:r>
      <w:r w:rsidRPr="005C124A">
        <w:rPr>
          <w:b/>
        </w:rPr>
        <w:t xml:space="preserve">на основе корреляционно-энергетического критерия. </w:t>
      </w:r>
      <w:r w:rsidRPr="005C124A">
        <w:rPr>
          <w:b/>
          <w:szCs w:val="28"/>
        </w:rPr>
        <w:t xml:space="preserve">С. 22–32. </w:t>
      </w:r>
      <w:r w:rsidRPr="005C124A">
        <w:t xml:space="preserve">Предлагается метод оценки заметности искажений, вносимых при </w:t>
      </w:r>
      <w:proofErr w:type="spellStart"/>
      <w:r w:rsidRPr="005C124A">
        <w:t>видеокомпрессии</w:t>
      </w:r>
      <w:proofErr w:type="spellEnd"/>
      <w:r w:rsidRPr="005C124A">
        <w:t xml:space="preserve"> по стандарту </w:t>
      </w:r>
      <w:r w:rsidRPr="005C124A">
        <w:rPr>
          <w:lang w:val="en-US"/>
        </w:rPr>
        <w:t>MPEG</w:t>
      </w:r>
      <w:r w:rsidRPr="005C124A">
        <w:t xml:space="preserve">-2, основанный на анализе </w:t>
      </w:r>
      <w:proofErr w:type="spellStart"/>
      <w:r w:rsidRPr="005C124A">
        <w:t>яркостно</w:t>
      </w:r>
      <w:proofErr w:type="spellEnd"/>
      <w:r w:rsidRPr="005C124A">
        <w:t xml:space="preserve">-цветового контраста границ блоков дискретного косинусного преобразования. Нормирование шкалы заметности искажений осуществляется с учётом </w:t>
      </w:r>
      <w:proofErr w:type="spellStart"/>
      <w:r w:rsidRPr="005C124A">
        <w:t>яркостно</w:t>
      </w:r>
      <w:proofErr w:type="spellEnd"/>
      <w:r w:rsidRPr="005C124A">
        <w:t>-цветового контраста границ блоков в максимально компрессированном изображении. Предлагаемый метод обладает высокими точностными характеристиками и может применяться при непрерывных измерениях и контроле качества изображения в цифровых ТВ системах.</w:t>
      </w:r>
    </w:p>
    <w:p w14:paraId="4328BDD6" w14:textId="14C925A8" w:rsidR="00AA4BCA" w:rsidRPr="005C124A" w:rsidRDefault="001B6014" w:rsidP="00AA4BCA">
      <w:pPr>
        <w:pStyle w:val="af7"/>
        <w:rPr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6479F" wp14:editId="6D05DEC8">
                <wp:simplePos x="0" y="0"/>
                <wp:positionH relativeFrom="column">
                  <wp:posOffset>181727</wp:posOffset>
                </wp:positionH>
                <wp:positionV relativeFrom="paragraph">
                  <wp:posOffset>1754243</wp:posOffset>
                </wp:positionV>
                <wp:extent cx="3745684" cy="310392"/>
                <wp:effectExtent l="0" t="0" r="762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684" cy="31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70860" w14:textId="77777777" w:rsidR="001B6014" w:rsidRDefault="001B6014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14.3pt;margin-top:138.15pt;width:294.9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ONmgIAAJEFAAAOAAAAZHJzL2Uyb0RvYy54bWysVEtuHCEQ3UfKHRD7uOfn38g91sSWo0iW&#10;bcWOvGZo8KAARYCZ7sllcoqsIuUMc6QUdM8njjeOsukG6lUV9XhVZ+eN0WQpfFBgS9o/6FEiLIdK&#10;2aeSfn64endCSYjMVkyDFSVdiUDPJ2/fnNVuLAYwB10JTzCIDePalXQeoxsXReBzYVg4ACcsGiV4&#10;wyJu/VNReVZjdKOLQa93VNTgK+eBixDw9LI10kmOL6Xg8VbKICLRJcW7xfz1+TtL32JyxsZPnrm5&#10;4t012D/cwjBlMek21CWLjCy8+iuUUdxDABkPOJgCpFRc5Bqwmn7vWTX3c+ZErgXJCW5LU/h/YfnN&#10;8s4TVZV0RIllBp9o/X39a/1z/YOMEju1C2ME3TuExeY9NPjKm/OAh6noRnqT/lgOQTvyvNpyK5pI&#10;OB4Oj0eHRyeYhKNt2O8NTwcpTLHzdj7EDwIMSYuSeny7TClbXofYQjeQlCyAVtWV0jpvkl7EhfZk&#10;yfCldcx3xOB/oLQldUmPhoe9HNhCcm8ja5vCiKyYLl2qvK0wr+JKi4TR9pOQyFgu9IXcjHNht/kz&#10;OqEkpnqNY4ff3eo1zm0d6JEzg41bZ6Ms+Fx9brEdZdWXDWWyxePb7NWdlrGZNVkqWwHMoFqhLjy0&#10;fRUcv1L4eNcsxDvmsZFQCjgc4i1+pAYkH7oVJXPw3146T3jUN1opqbExSxq+LpgXlOiPFpV/2h+N&#10;UifnzejweIAbv2+Z7VvswlwAKqKPY8jxvEz4qDdL6cE84gyZpqxoYpZj7pLGzfIituMCZxAX02kG&#10;Ye86Fq/tveMpdGI5SfOheWTedfqNqPwb2LQwGz+TcYtNnhamiwhSZY0nnltWO/6x73OXdDMqDZb9&#10;fUbtJunkNwAAAP//AwBQSwMEFAAGAAgAAAAhABmDLfHiAAAACgEAAA8AAABkcnMvZG93bnJldi54&#10;bWxMj01PhDAQhu8m/odmTLwYtyxkWYKUjTF+JN528SPeunQEIp0S2gX8944nPU0m8+Sd5y12i+3F&#10;hKPvHClYryIQSLUzHTUKXqqH6wyED5qM7h2hgm/0sCvPzwqdGzfTHqdDaASHkM+1gjaEIZfS1y1a&#10;7VduQOLbpxutDryOjTSjnjnc9jKOolRa3RF/aPWAdy3WX4eTVfBx1bw/++XxdU42yXD/NFXbN1Mp&#10;dXmx3N6ACLiEPxh+9VkdSnY6uhMZL3oFcZYyyXObJiAYSNfZBsRRQRJvYpBlIf9XKH8AAAD//wMA&#10;UEsBAi0AFAAGAAgAAAAhALaDOJL+AAAA4QEAABMAAAAAAAAAAAAAAAAAAAAAAFtDb250ZW50X1R5&#10;cGVzXS54bWxQSwECLQAUAAYACAAAACEAOP0h/9YAAACUAQAACwAAAAAAAAAAAAAAAAAvAQAAX3Jl&#10;bHMvLnJlbHNQSwECLQAUAAYACAAAACEAwlBzjZoCAACRBQAADgAAAAAAAAAAAAAAAAAuAgAAZHJz&#10;L2Uyb0RvYy54bWxQSwECLQAUAAYACAAAACEAGYMt8eIAAAAKAQAADwAAAAAAAAAAAAAAAAD0BAAA&#10;ZHJzL2Rvd25yZXYueG1sUEsFBgAAAAAEAAQA8wAAAAMGAAAAAA==&#10;" fillcolor="white [3201]" stroked="f" strokeweight=".5pt">
                <v:textbox>
                  <w:txbxContent>
                    <w:p w14:paraId="6B370860" w14:textId="77777777" w:rsidR="001B6014" w:rsidRDefault="001B6014"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proofErr w:type="spellStart"/>
      <w:r w:rsidR="00AA4BCA" w:rsidRPr="005C124A">
        <w:rPr>
          <w:i/>
        </w:rPr>
        <w:t>Белонучкин</w:t>
      </w:r>
      <w:proofErr w:type="spellEnd"/>
      <w:r w:rsidR="00AA4BCA" w:rsidRPr="005C124A">
        <w:rPr>
          <w:i/>
        </w:rPr>
        <w:t xml:space="preserve"> П. П., Козлов Н. Н., </w:t>
      </w:r>
      <w:proofErr w:type="spellStart"/>
      <w:r w:rsidR="00AA4BCA" w:rsidRPr="005C124A">
        <w:rPr>
          <w:i/>
        </w:rPr>
        <w:t>Шостацкий</w:t>
      </w:r>
      <w:proofErr w:type="spellEnd"/>
      <w:r w:rsidR="00AA4BCA" w:rsidRPr="005C124A">
        <w:rPr>
          <w:i/>
        </w:rPr>
        <w:t> Н. Н.</w:t>
      </w:r>
      <w:r w:rsidR="00AA4BCA" w:rsidRPr="005C124A">
        <w:t xml:space="preserve"> </w:t>
      </w:r>
      <w:r w:rsidR="00AA4BCA" w:rsidRPr="005C124A">
        <w:rPr>
          <w:b/>
          <w:bCs/>
          <w:szCs w:val="28"/>
        </w:rPr>
        <w:t>Многокамерная телевизионная система с передачей сигналов по занятым двухпроводным линиям.</w:t>
      </w:r>
      <w:r w:rsidR="00AA4BCA" w:rsidRPr="005C124A">
        <w:rPr>
          <w:b/>
          <w:szCs w:val="28"/>
        </w:rPr>
        <w:t xml:space="preserve"> С. 33–42. </w:t>
      </w:r>
      <w:r w:rsidR="00AA4BCA" w:rsidRPr="005C124A">
        <w:rPr>
          <w:szCs w:val="18"/>
        </w:rPr>
        <w:t>Рассмотрены вопросы построения многокамерной системы, использующей для передачи сигналов изображения и звука, а также сигналов дистанционного управления камерами в другом направлении, одну пару занятой абонентской телефонной или радиотрансляционной сети. Определены значения частот поднесущих и вид модуляции для всех сигналов, обеспечивающих частотное разделение сигналов. Выбрана система дистанционного управления для опроса ТВ</w:t>
      </w:r>
      <w:r w:rsidR="00AA4BCA">
        <w:rPr>
          <w:szCs w:val="18"/>
        </w:rPr>
        <w:t> </w:t>
      </w:r>
      <w:r w:rsidR="00AA4BCA" w:rsidRPr="005C124A">
        <w:rPr>
          <w:szCs w:val="18"/>
        </w:rPr>
        <w:t xml:space="preserve">камер, основанная на передаче тональных посылок, обладающая высокой </w:t>
      </w:r>
      <w:r w:rsidR="00AA4BCA" w:rsidRPr="005C124A">
        <w:rPr>
          <w:szCs w:val="18"/>
        </w:rPr>
        <w:lastRenderedPageBreak/>
        <w:t xml:space="preserve">помехоустойчивостью. Приведены результаты испытаний макета системы и показано, что на расстояниях до </w:t>
      </w:r>
      <w:smartTag w:uri="urn:schemas-microsoft-com:office:smarttags" w:element="metricconverter">
        <w:smartTagPr>
          <w:attr w:name="ProductID" w:val="500 м"/>
        </w:smartTagPr>
        <w:r w:rsidR="00AA4BCA" w:rsidRPr="005C124A">
          <w:rPr>
            <w:szCs w:val="18"/>
          </w:rPr>
          <w:t>500 м</w:t>
        </w:r>
      </w:smartTag>
      <w:r w:rsidR="00AA4BCA" w:rsidRPr="005C124A">
        <w:rPr>
          <w:szCs w:val="18"/>
        </w:rPr>
        <w:t xml:space="preserve"> при частоте поднесущей сигнала изображения, равной 13,5 МГц, обеспечивается чёткость и цветопередача, соответствующие исходному сигналу ПАЛ.</w:t>
      </w:r>
    </w:p>
    <w:p w14:paraId="0D07A18C" w14:textId="77777777" w:rsidR="00AA4BCA" w:rsidRPr="005C124A" w:rsidRDefault="00AA4BCA" w:rsidP="00AA4BCA">
      <w:pPr>
        <w:pStyle w:val="af7"/>
      </w:pPr>
      <w:r w:rsidRPr="005C124A">
        <w:rPr>
          <w:i/>
        </w:rPr>
        <w:t>Фахми Ш. С.</w:t>
      </w:r>
      <w:r w:rsidRPr="005C124A">
        <w:t xml:space="preserve"> </w:t>
      </w:r>
      <w:r w:rsidRPr="005C124A">
        <w:rPr>
          <w:b/>
        </w:rPr>
        <w:t>Пирамидально-рекурсивный метод кодирования и декодирования видеоинформации.</w:t>
      </w:r>
      <w:r w:rsidRPr="005C124A">
        <w:rPr>
          <w:b/>
          <w:szCs w:val="28"/>
        </w:rPr>
        <w:t xml:space="preserve"> С. 43–51. </w:t>
      </w:r>
      <w:r w:rsidRPr="005C124A">
        <w:t xml:space="preserve">Рассмотрен способ кодирования изображений путём выделения опорных точек на основе пирамидально-рекурсивного метода разбиения. Предложен алгоритм кодирования и восстановления изображений на основе триангуляции опорных точек. Приведены количественные оценки результатов моделирования алгоритмов. </w:t>
      </w:r>
    </w:p>
    <w:p w14:paraId="78CD336D" w14:textId="77777777" w:rsidR="00AA4BCA" w:rsidRPr="005C124A" w:rsidRDefault="00AA4BCA" w:rsidP="00AA4BCA">
      <w:pPr>
        <w:pStyle w:val="af7"/>
        <w:rPr>
          <w:snapToGrid w:val="0"/>
          <w:szCs w:val="18"/>
        </w:rPr>
      </w:pPr>
      <w:r w:rsidRPr="005C124A">
        <w:rPr>
          <w:i/>
          <w:snapToGrid w:val="0"/>
        </w:rPr>
        <w:t>Макаренко В. В.</w:t>
      </w:r>
      <w:r w:rsidRPr="005C124A">
        <w:rPr>
          <w:snapToGrid w:val="0"/>
        </w:rPr>
        <w:t xml:space="preserve"> </w:t>
      </w:r>
      <w:r w:rsidRPr="005C124A">
        <w:rPr>
          <w:b/>
          <w:snapToGrid w:val="0"/>
          <w:szCs w:val="28"/>
        </w:rPr>
        <w:t>Многофункциональные устройства с переменной электрической схемой на основе ПЛИС.</w:t>
      </w:r>
      <w:r w:rsidRPr="005C124A">
        <w:rPr>
          <w:b/>
          <w:szCs w:val="28"/>
        </w:rPr>
        <w:t xml:space="preserve"> С. 52–59. </w:t>
      </w:r>
      <w:r w:rsidRPr="005C124A">
        <w:rPr>
          <w:rStyle w:val="af6"/>
          <w:szCs w:val="18"/>
        </w:rPr>
        <w:t>Рассматриваются вопросы использования перепрограммируемых логических интегральных схем как базового элемента при разработке многофункциональных блоков, изменяющих электрическую схему и связи в зависимости от решаемой задачи. Показана работа многофункционального блока на примере телевизионной тест-системы для разработки и отладки цифровых блоков преобразования телевизионных изображений</w:t>
      </w:r>
      <w:r w:rsidRPr="005C124A">
        <w:rPr>
          <w:snapToGrid w:val="0"/>
          <w:szCs w:val="18"/>
        </w:rPr>
        <w:t>.</w:t>
      </w:r>
    </w:p>
    <w:p w14:paraId="733AC5F2" w14:textId="77777777" w:rsidR="00AA4BCA" w:rsidRPr="005C124A" w:rsidRDefault="00AA4BCA" w:rsidP="00AA4BCA">
      <w:pPr>
        <w:pStyle w:val="af7"/>
        <w:rPr>
          <w:szCs w:val="18"/>
        </w:rPr>
      </w:pPr>
      <w:proofErr w:type="spellStart"/>
      <w:r w:rsidRPr="005C124A">
        <w:rPr>
          <w:i/>
        </w:rPr>
        <w:t>Смелков</w:t>
      </w:r>
      <w:proofErr w:type="spellEnd"/>
      <w:r w:rsidRPr="005C124A">
        <w:rPr>
          <w:i/>
        </w:rPr>
        <w:t> В. М.</w:t>
      </w:r>
      <w:r w:rsidRPr="005C124A">
        <w:rPr>
          <w:i/>
          <w:sz w:val="28"/>
          <w:szCs w:val="28"/>
        </w:rPr>
        <w:t xml:space="preserve"> </w:t>
      </w:r>
      <w:r w:rsidRPr="005C124A">
        <w:rPr>
          <w:b/>
        </w:rPr>
        <w:t>Методы расширения динамического диапазона телекамер на матрицах ПЗС.</w:t>
      </w:r>
      <w:r w:rsidRPr="005C124A">
        <w:rPr>
          <w:b/>
          <w:szCs w:val="28"/>
        </w:rPr>
        <w:t xml:space="preserve"> С. 60–75. </w:t>
      </w:r>
      <w:r w:rsidRPr="005C124A">
        <w:rPr>
          <w:szCs w:val="18"/>
        </w:rPr>
        <w:t xml:space="preserve">Рассмотрены факторы, определяющие значение динамического диапазона телекамер на ПЗС; аналитически синтезированы световые характеристики телекамеры при </w:t>
      </w:r>
      <w:r w:rsidRPr="005C124A">
        <w:rPr>
          <w:i/>
          <w:szCs w:val="18"/>
        </w:rPr>
        <w:t>N</w:t>
      </w:r>
      <w:r w:rsidRPr="005C124A">
        <w:rPr>
          <w:szCs w:val="18"/>
        </w:rPr>
        <w:t>-канальном и двухканальном преобразовании «свет−сигнал», предложена методика измерения динамического диапазона.</w:t>
      </w:r>
    </w:p>
    <w:p w14:paraId="30C8BDBD" w14:textId="77777777" w:rsidR="00AA4BCA" w:rsidRPr="005C124A" w:rsidRDefault="00AA4BCA" w:rsidP="00AA4BCA">
      <w:pPr>
        <w:pStyle w:val="af7"/>
        <w:rPr>
          <w:szCs w:val="18"/>
        </w:rPr>
      </w:pPr>
      <w:r w:rsidRPr="005C124A">
        <w:rPr>
          <w:i/>
        </w:rPr>
        <w:t>Иванов В. А.</w:t>
      </w:r>
      <w:r w:rsidRPr="00AB3B10">
        <w:t xml:space="preserve"> </w:t>
      </w:r>
      <w:r w:rsidRPr="005C124A">
        <w:rPr>
          <w:b/>
          <w:szCs w:val="28"/>
        </w:rPr>
        <w:t>Антенна для приёма телевизионных сигналов в</w:t>
      </w:r>
      <w:r>
        <w:rPr>
          <w:b/>
          <w:szCs w:val="28"/>
        </w:rPr>
        <w:t> </w:t>
      </w:r>
      <w:r w:rsidRPr="005C124A">
        <w:rPr>
          <w:b/>
          <w:szCs w:val="28"/>
        </w:rPr>
        <w:t xml:space="preserve">диапазонах МВ и ДМВ. С. 76–81. </w:t>
      </w:r>
      <w:r w:rsidRPr="005C124A">
        <w:rPr>
          <w:spacing w:val="-4"/>
          <w:szCs w:val="18"/>
        </w:rPr>
        <w:t>Приведено описание антенны для приёма телевизионных сигналов</w:t>
      </w:r>
      <w:r w:rsidRPr="005C124A">
        <w:rPr>
          <w:szCs w:val="18"/>
        </w:rPr>
        <w:t xml:space="preserve"> в МВ и ДМВ диапазонах. Конструкция антенны оптимизирована для работы в условиях повышенных вибрационных нагрузок.</w:t>
      </w:r>
    </w:p>
    <w:p w14:paraId="419BD523" w14:textId="7FFD94D1" w:rsidR="00AA4BCA" w:rsidRPr="00765F5C" w:rsidRDefault="00AA4BCA" w:rsidP="00AA4BCA">
      <w:pPr>
        <w:pStyle w:val="af7"/>
      </w:pPr>
      <w:r w:rsidRPr="005C124A">
        <w:rPr>
          <w:i/>
        </w:rPr>
        <w:t>Хромов Л. И.</w:t>
      </w:r>
      <w:r w:rsidRPr="005C124A">
        <w:t xml:space="preserve"> </w:t>
      </w:r>
      <w:bookmarkStart w:id="3" w:name="_Toc125294127"/>
      <w:r w:rsidRPr="005C124A">
        <w:rPr>
          <w:b/>
        </w:rPr>
        <w:t>Поиск смысла теории виртуальной связи</w:t>
      </w:r>
      <w:bookmarkEnd w:id="3"/>
      <w:r w:rsidRPr="005C124A">
        <w:rPr>
          <w:b/>
        </w:rPr>
        <w:t xml:space="preserve">. С. 82–91. </w:t>
      </w:r>
      <w:r w:rsidRPr="005C124A">
        <w:t xml:space="preserve">Дан обзор создания во </w:t>
      </w:r>
      <w:proofErr w:type="spellStart"/>
      <w:r w:rsidRPr="005C124A">
        <w:t>ВНИИТе</w:t>
      </w:r>
      <w:proofErr w:type="spellEnd"/>
      <w:r w:rsidRPr="005C124A">
        <w:t xml:space="preserve"> теории телевидения как развития теории Шеннона с применением уравнения информационного равновесия. Содержится призыв к развитию образной теории связи. Данная статья посвящается памяти Аркадия Борисовича Ковригина.</w:t>
      </w:r>
    </w:p>
    <w:sectPr w:rsidR="00AA4BCA" w:rsidRPr="00765F5C" w:rsidSect="00244317">
      <w:footerReference w:type="even" r:id="rId9"/>
      <w:footerReference w:type="default" r:id="rId10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BDFA" w14:textId="77777777" w:rsidR="00196C7D" w:rsidRDefault="00196C7D">
      <w:r>
        <w:separator/>
      </w:r>
    </w:p>
  </w:endnote>
  <w:endnote w:type="continuationSeparator" w:id="0">
    <w:p w14:paraId="7DCE1EAA" w14:textId="77777777" w:rsidR="00196C7D" w:rsidRDefault="0019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124804"/>
      <w:docPartObj>
        <w:docPartGallery w:val="Page Numbers (Bottom of Page)"/>
        <w:docPartUnique/>
      </w:docPartObj>
    </w:sdtPr>
    <w:sdtEndPr/>
    <w:sdtContent>
      <w:p w14:paraId="24E486CA" w14:textId="4E5C8296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1B6014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0B2153">
          <w:rPr>
            <w:sz w:val="18"/>
            <w:szCs w:val="18"/>
          </w:rPr>
          <w:t>7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8F2E90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934285"/>
      <w:docPartObj>
        <w:docPartGallery w:val="Page Numbers (Bottom of Page)"/>
        <w:docPartUnique/>
      </w:docPartObj>
    </w:sdtPr>
    <w:sdtEndPr/>
    <w:sdtContent>
      <w:p w14:paraId="065C1069" w14:textId="7BFC6555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0B2153">
          <w:rPr>
            <w:sz w:val="18"/>
            <w:szCs w:val="18"/>
          </w:rPr>
          <w:t>7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8F2E90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1B6014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5002A" w14:textId="77777777" w:rsidR="00196C7D" w:rsidRDefault="00196C7D">
      <w:r>
        <w:separator/>
      </w:r>
    </w:p>
  </w:footnote>
  <w:footnote w:type="continuationSeparator" w:id="0">
    <w:p w14:paraId="739B813C" w14:textId="77777777" w:rsidR="00196C7D" w:rsidRDefault="0019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4"/>
  </w:num>
  <w:num w:numId="5">
    <w:abstractNumId w:val="23"/>
  </w:num>
  <w:num w:numId="6">
    <w:abstractNumId w:val="19"/>
  </w:num>
  <w:num w:numId="7">
    <w:abstractNumId w:val="1"/>
  </w:num>
  <w:num w:numId="8">
    <w:abstractNumId w:val="21"/>
  </w:num>
  <w:num w:numId="9">
    <w:abstractNumId w:val="26"/>
  </w:num>
  <w:num w:numId="10">
    <w:abstractNumId w:val="35"/>
  </w:num>
  <w:num w:numId="11">
    <w:abstractNumId w:val="39"/>
  </w:num>
  <w:num w:numId="12">
    <w:abstractNumId w:val="8"/>
  </w:num>
  <w:num w:numId="13">
    <w:abstractNumId w:val="42"/>
  </w:num>
  <w:num w:numId="14">
    <w:abstractNumId w:val="38"/>
  </w:num>
  <w:num w:numId="15">
    <w:abstractNumId w:val="22"/>
  </w:num>
  <w:num w:numId="16">
    <w:abstractNumId w:val="13"/>
  </w:num>
  <w:num w:numId="17">
    <w:abstractNumId w:val="6"/>
  </w:num>
  <w:num w:numId="18">
    <w:abstractNumId w:val="16"/>
  </w:num>
  <w:num w:numId="19">
    <w:abstractNumId w:val="36"/>
  </w:num>
  <w:num w:numId="20">
    <w:abstractNumId w:val="18"/>
  </w:num>
  <w:num w:numId="21">
    <w:abstractNumId w:val="11"/>
  </w:num>
  <w:num w:numId="22">
    <w:abstractNumId w:val="24"/>
  </w:num>
  <w:num w:numId="23">
    <w:abstractNumId w:val="31"/>
  </w:num>
  <w:num w:numId="24">
    <w:abstractNumId w:val="27"/>
  </w:num>
  <w:num w:numId="25">
    <w:abstractNumId w:val="12"/>
  </w:num>
  <w:num w:numId="26">
    <w:abstractNumId w:val="34"/>
  </w:num>
  <w:num w:numId="27">
    <w:abstractNumId w:val="40"/>
  </w:num>
  <w:num w:numId="28">
    <w:abstractNumId w:val="5"/>
  </w:num>
  <w:num w:numId="29">
    <w:abstractNumId w:val="32"/>
  </w:num>
  <w:num w:numId="30">
    <w:abstractNumId w:val="20"/>
  </w:num>
  <w:num w:numId="31">
    <w:abstractNumId w:val="29"/>
  </w:num>
  <w:num w:numId="32">
    <w:abstractNumId w:val="30"/>
  </w:num>
  <w:num w:numId="33">
    <w:abstractNumId w:val="14"/>
  </w:num>
  <w:num w:numId="34">
    <w:abstractNumId w:val="33"/>
  </w:num>
  <w:num w:numId="35">
    <w:abstractNumId w:val="37"/>
  </w:num>
  <w:num w:numId="36">
    <w:abstractNumId w:val="17"/>
  </w:num>
  <w:num w:numId="37">
    <w:abstractNumId w:val="25"/>
  </w:num>
  <w:num w:numId="38">
    <w:abstractNumId w:val="9"/>
  </w:num>
  <w:num w:numId="39">
    <w:abstractNumId w:val="2"/>
  </w:num>
  <w:num w:numId="40">
    <w:abstractNumId w:val="10"/>
  </w:num>
  <w:num w:numId="41">
    <w:abstractNumId w:val="3"/>
  </w:num>
  <w:num w:numId="42">
    <w:abstractNumId w:val="7"/>
  </w:num>
  <w:num w:numId="43">
    <w:abstractNumId w:val="43"/>
  </w:num>
  <w:num w:numId="44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96C7D"/>
    <w:rsid w:val="001A14B1"/>
    <w:rsid w:val="001A3A21"/>
    <w:rsid w:val="001A40FD"/>
    <w:rsid w:val="001A66CD"/>
    <w:rsid w:val="001A6AA9"/>
    <w:rsid w:val="001A743E"/>
    <w:rsid w:val="001B322E"/>
    <w:rsid w:val="001B4FE5"/>
    <w:rsid w:val="001B6014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6F9C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2E90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4BCA"/>
    <w:rsid w:val="00AA531A"/>
    <w:rsid w:val="00AA637B"/>
    <w:rsid w:val="00AA7B41"/>
    <w:rsid w:val="00AA7C3D"/>
    <w:rsid w:val="00AB037E"/>
    <w:rsid w:val="00AB2F01"/>
    <w:rsid w:val="00AB3B10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3B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uiPriority="99"/>
    <w:lsdException w:name="caption" w:uiPriority="35"/>
    <w:lsdException w:name="table of figures" w:uiPriority="99"/>
    <w:lsdException w:name="annotation reference" w:uiPriority="99"/>
    <w:lsdException w:name="line number" w:uiPriority="99"/>
    <w:lsdException w:name="end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HTML Cite" w:uiPriority="99"/>
    <w:lsdException w:name="HTML Definition" w:uiPriority="99"/>
    <w:lsdException w:name="HTML Preformatted" w:uiPriority="99"/>
    <w:lsdException w:name="No List" w:uiPriority="99"/>
    <w:lsdException w:name="Outline List 1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веб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Название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index heading" w:uiPriority="99"/>
    <w:lsdException w:name="caption" w:uiPriority="35"/>
    <w:lsdException w:name="table of figures" w:uiPriority="99"/>
    <w:lsdException w:name="annotation reference" w:uiPriority="99"/>
    <w:lsdException w:name="line number" w:uiPriority="99"/>
    <w:lsdException w:name="end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HTML Cite" w:uiPriority="99"/>
    <w:lsdException w:name="HTML Definition" w:uiPriority="99"/>
    <w:lsdException w:name="HTML Preformatted" w:uiPriority="99"/>
    <w:lsdException w:name="No List" w:uiPriority="99"/>
    <w:lsdException w:name="Outline List 1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веб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Название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822B-2041-465F-9869-146ADB4E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LocalAdmin</cp:lastModifiedBy>
  <cp:revision>5</cp:revision>
  <cp:lastPrinted>2023-01-08T15:54:00Z</cp:lastPrinted>
  <dcterms:created xsi:type="dcterms:W3CDTF">2025-09-12T16:25:00Z</dcterms:created>
  <dcterms:modified xsi:type="dcterms:W3CDTF">2025-09-12T22:06:00Z</dcterms:modified>
</cp:coreProperties>
</file>